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12F106" w14:textId="77777777" w:rsidR="00E2184D" w:rsidRDefault="00584D7A">
      <w:bookmarkStart w:id="0" w:name="_heading=h.gjdgxs" w:colFirst="0" w:colLast="0"/>
      <w:bookmarkEnd w:id="0"/>
      <w:r>
        <w:rPr>
          <w:b/>
        </w:rPr>
        <w:t xml:space="preserve">Kultuurikeskusele LINDAKIVI </w:t>
      </w:r>
    </w:p>
    <w:p w14:paraId="7EB55615" w14:textId="77777777" w:rsidR="00E2184D" w:rsidRDefault="00E2184D"/>
    <w:tbl>
      <w:tblPr>
        <w:tblStyle w:val="a2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6198"/>
      </w:tblGrid>
      <w:tr w:rsidR="00E2184D" w14:paraId="3A176D1B" w14:textId="77777777">
        <w:tc>
          <w:tcPr>
            <w:tcW w:w="3372" w:type="dxa"/>
            <w:tcMar>
              <w:left w:w="108" w:type="dxa"/>
            </w:tcMar>
          </w:tcPr>
          <w:p w14:paraId="0DB45AD8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Juriidilise/Eraisiku nimi:</w:t>
            </w:r>
          </w:p>
        </w:tc>
        <w:tc>
          <w:tcPr>
            <w:tcW w:w="6198" w:type="dxa"/>
            <w:tcMar>
              <w:left w:w="108" w:type="dxa"/>
            </w:tcMar>
          </w:tcPr>
          <w:p w14:paraId="5B0DC3A5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C0EF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184D" w14:paraId="0D2447CC" w14:textId="77777777">
        <w:tc>
          <w:tcPr>
            <w:tcW w:w="3372" w:type="dxa"/>
            <w:tcMar>
              <w:left w:w="108" w:type="dxa"/>
            </w:tcMar>
          </w:tcPr>
          <w:p w14:paraId="2FC16852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Registrinumber/isikukood:</w:t>
            </w:r>
          </w:p>
        </w:tc>
        <w:tc>
          <w:tcPr>
            <w:tcW w:w="6198" w:type="dxa"/>
            <w:tcMar>
              <w:left w:w="108" w:type="dxa"/>
            </w:tcMar>
          </w:tcPr>
          <w:p w14:paraId="29CBDE84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204A3A91" w14:textId="77777777">
        <w:tc>
          <w:tcPr>
            <w:tcW w:w="3372" w:type="dxa"/>
            <w:tcMar>
              <w:left w:w="108" w:type="dxa"/>
            </w:tcMar>
          </w:tcPr>
          <w:p w14:paraId="43E3086B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Esindaja ees- ja perekonnanimi:</w:t>
            </w:r>
          </w:p>
        </w:tc>
        <w:tc>
          <w:tcPr>
            <w:tcW w:w="6198" w:type="dxa"/>
            <w:tcMar>
              <w:left w:w="108" w:type="dxa"/>
            </w:tcMar>
          </w:tcPr>
          <w:p w14:paraId="77C6CA42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7F29FB11" w14:textId="77777777">
        <w:tc>
          <w:tcPr>
            <w:tcW w:w="3372" w:type="dxa"/>
            <w:tcMar>
              <w:left w:w="108" w:type="dxa"/>
            </w:tcMar>
          </w:tcPr>
          <w:p w14:paraId="5AB5986D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Aadress:</w:t>
            </w:r>
          </w:p>
        </w:tc>
        <w:tc>
          <w:tcPr>
            <w:tcW w:w="6198" w:type="dxa"/>
            <w:tcMar>
              <w:left w:w="108" w:type="dxa"/>
            </w:tcMar>
          </w:tcPr>
          <w:p w14:paraId="03A57FF1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446EEACC" w14:textId="77777777">
        <w:tc>
          <w:tcPr>
            <w:tcW w:w="3372" w:type="dxa"/>
            <w:tcMar>
              <w:left w:w="108" w:type="dxa"/>
            </w:tcMar>
          </w:tcPr>
          <w:p w14:paraId="0891B610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ja e-posti aadress:</w:t>
            </w:r>
          </w:p>
        </w:tc>
        <w:tc>
          <w:tcPr>
            <w:tcW w:w="6198" w:type="dxa"/>
            <w:tcMar>
              <w:left w:w="108" w:type="dxa"/>
            </w:tcMar>
          </w:tcPr>
          <w:p w14:paraId="59023317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</w:tbl>
    <w:p w14:paraId="6E326E19" w14:textId="77777777" w:rsidR="00E2184D" w:rsidRDefault="00E2184D">
      <w:pPr>
        <w:pStyle w:val="Pealkiri1"/>
        <w:ind w:left="0" w:firstLine="0"/>
        <w:jc w:val="left"/>
      </w:pPr>
    </w:p>
    <w:p w14:paraId="1FB694B1" w14:textId="77777777" w:rsidR="00E2184D" w:rsidRDefault="00584D7A">
      <w:pPr>
        <w:pStyle w:val="Pealkiri1"/>
        <w:numPr>
          <w:ilvl w:val="0"/>
          <w:numId w:val="1"/>
        </w:numPr>
        <w:ind w:hanging="432"/>
      </w:pPr>
      <w:r>
        <w:t>AVALDUS</w:t>
      </w:r>
    </w:p>
    <w:tbl>
      <w:tblPr>
        <w:tblStyle w:val="a3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5526"/>
      </w:tblGrid>
      <w:tr w:rsidR="00E2184D" w14:paraId="6EDE85D2" w14:textId="77777777">
        <w:tc>
          <w:tcPr>
            <w:tcW w:w="4044" w:type="dxa"/>
            <w:tcMar>
              <w:left w:w="108" w:type="dxa"/>
            </w:tcMar>
          </w:tcPr>
          <w:p w14:paraId="3A731B73" w14:textId="77777777" w:rsidR="00E2184D" w:rsidRDefault="00584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Palume võimaldada kultuurikeskuse Lindakivi ruumide kasutamist perioodil:</w:t>
            </w:r>
            <w:r>
              <w:rPr>
                <w:i/>
                <w:sz w:val="22"/>
                <w:szCs w:val="22"/>
              </w:rPr>
              <w:t>(kuupäev ja kellaaeg</w:t>
            </w:r>
            <w:r w:rsidR="006C312D">
              <w:rPr>
                <w:i/>
                <w:sz w:val="22"/>
                <w:szCs w:val="22"/>
              </w:rPr>
              <w:t>, orienteeruv ettevalmistuse, proovi, ürituse ja lõpetamise aeg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6" w:type="dxa"/>
            <w:tcMar>
              <w:left w:w="108" w:type="dxa"/>
            </w:tcMar>
          </w:tcPr>
          <w:p w14:paraId="6CF0D9C0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114E77F1" w14:textId="77777777">
        <w:tc>
          <w:tcPr>
            <w:tcW w:w="4044" w:type="dxa"/>
            <w:tcMar>
              <w:left w:w="108" w:type="dxa"/>
            </w:tcMar>
          </w:tcPr>
          <w:p w14:paraId="69C0B8DB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Ruumi(de) nimetus:</w:t>
            </w:r>
          </w:p>
          <w:p w14:paraId="2180953C" w14:textId="77777777" w:rsidR="00E2184D" w:rsidRDefault="00584D7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(kontsertsaal, tantsusaal, näitusesaal, konverentsisaal, õppeklass, nõupidamiste ruum või kohvik)</w:t>
            </w:r>
          </w:p>
        </w:tc>
        <w:tc>
          <w:tcPr>
            <w:tcW w:w="5526" w:type="dxa"/>
            <w:tcMar>
              <w:left w:w="108" w:type="dxa"/>
            </w:tcMar>
          </w:tcPr>
          <w:p w14:paraId="5CE9D2F2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556B61F7" w14:textId="77777777">
        <w:tc>
          <w:tcPr>
            <w:tcW w:w="4044" w:type="dxa"/>
            <w:tcMar>
              <w:left w:w="108" w:type="dxa"/>
            </w:tcMar>
          </w:tcPr>
          <w:p w14:paraId="0A5C0CDB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nimi ja pileti hind:</w:t>
            </w:r>
          </w:p>
          <w:p w14:paraId="0865D8CC" w14:textId="77777777" w:rsidR="00E2184D" w:rsidRDefault="00584D7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(kui üritus on tasuta, siis märkida TASUTA):</w:t>
            </w:r>
          </w:p>
        </w:tc>
        <w:tc>
          <w:tcPr>
            <w:tcW w:w="5526" w:type="dxa"/>
            <w:tcMar>
              <w:left w:w="108" w:type="dxa"/>
            </w:tcMar>
          </w:tcPr>
          <w:p w14:paraId="463AB62B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1D8F1B75" w14:textId="77777777">
        <w:trPr>
          <w:trHeight w:val="200"/>
        </w:trPr>
        <w:tc>
          <w:tcPr>
            <w:tcW w:w="9570" w:type="dxa"/>
            <w:gridSpan w:val="2"/>
            <w:tcMar>
              <w:left w:w="108" w:type="dxa"/>
            </w:tcMar>
          </w:tcPr>
          <w:p w14:paraId="139A327A" w14:textId="77777777" w:rsidR="00E2184D" w:rsidRDefault="00584D7A" w:rsidP="00F03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reklaam AJAKAVAS saata e-postile: </w:t>
            </w:r>
            <w:r w:rsidR="00F03049">
              <w:rPr>
                <w:b/>
                <w:sz w:val="24"/>
                <w:szCs w:val="24"/>
              </w:rPr>
              <w:t>info</w:t>
            </w:r>
            <w:r>
              <w:rPr>
                <w:b/>
                <w:sz w:val="24"/>
                <w:szCs w:val="24"/>
              </w:rPr>
              <w:t>@lindakivi.ee</w:t>
            </w:r>
          </w:p>
        </w:tc>
      </w:tr>
      <w:tr w:rsidR="00E2184D" w14:paraId="50317184" w14:textId="77777777">
        <w:tc>
          <w:tcPr>
            <w:tcW w:w="4044" w:type="dxa"/>
            <w:tcMar>
              <w:left w:w="108" w:type="dxa"/>
            </w:tcMar>
          </w:tcPr>
          <w:p w14:paraId="161D26A2" w14:textId="77777777" w:rsidR="00E2184D" w:rsidRDefault="00584D7A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Vajalik tehnika: </w:t>
            </w:r>
          </w:p>
          <w:p w14:paraId="775FC122" w14:textId="77777777" w:rsidR="00E2184D" w:rsidRDefault="00584D7A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highlight w:val="white"/>
              </w:rPr>
              <w:t>heli -, valgus – ja lavatehnika</w:t>
            </w:r>
            <w:r>
              <w:rPr>
                <w:i/>
                <w:sz w:val="22"/>
                <w:szCs w:val="22"/>
              </w:rPr>
              <w:t>)</w:t>
            </w:r>
          </w:p>
          <w:p w14:paraId="2F811C9B" w14:textId="77777777" w:rsidR="00E2184D" w:rsidRDefault="00584D7A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NB! </w:t>
            </w:r>
            <w:r>
              <w:rPr>
                <w:i/>
                <w:color w:val="000000"/>
                <w:sz w:val="22"/>
                <w:szCs w:val="22"/>
              </w:rPr>
              <w:t>H</w:t>
            </w:r>
            <w:r>
              <w:rPr>
                <w:i/>
                <w:color w:val="000000"/>
                <w:sz w:val="22"/>
                <w:szCs w:val="22"/>
                <w:highlight w:val="white"/>
              </w:rPr>
              <w:t>eli – ja  valgustehnika ei sisalda vastavat režiid</w:t>
            </w:r>
          </w:p>
        </w:tc>
        <w:tc>
          <w:tcPr>
            <w:tcW w:w="5526" w:type="dxa"/>
            <w:tcMar>
              <w:left w:w="108" w:type="dxa"/>
            </w:tcMar>
          </w:tcPr>
          <w:p w14:paraId="0733257A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3C89357E" w14:textId="77777777">
        <w:tc>
          <w:tcPr>
            <w:tcW w:w="4044" w:type="dxa"/>
            <w:tcMar>
              <w:left w:w="108" w:type="dxa"/>
            </w:tcMar>
          </w:tcPr>
          <w:p w14:paraId="13DCB7A3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Vajalik lisainventar:</w:t>
            </w:r>
          </w:p>
          <w:p w14:paraId="157DA429" w14:textId="77777777" w:rsidR="00E2184D" w:rsidRDefault="00584D7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(ekraan, dataprojektor, toolid/lauad, jne)</w:t>
            </w:r>
          </w:p>
        </w:tc>
        <w:tc>
          <w:tcPr>
            <w:tcW w:w="5526" w:type="dxa"/>
            <w:tcMar>
              <w:left w:w="108" w:type="dxa"/>
            </w:tcMar>
          </w:tcPr>
          <w:p w14:paraId="100F785D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 w14:paraId="396C9C4C" w14:textId="77777777">
        <w:tc>
          <w:tcPr>
            <w:tcW w:w="4044" w:type="dxa"/>
            <w:tcMar>
              <w:left w:w="108" w:type="dxa"/>
            </w:tcMar>
          </w:tcPr>
          <w:p w14:paraId="76D5F4F7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Lisainformatsioon:</w:t>
            </w:r>
          </w:p>
        </w:tc>
        <w:tc>
          <w:tcPr>
            <w:tcW w:w="5526" w:type="dxa"/>
            <w:tcMar>
              <w:left w:w="108" w:type="dxa"/>
            </w:tcMar>
          </w:tcPr>
          <w:p w14:paraId="0923B1E7" w14:textId="77777777" w:rsidR="00E2184D" w:rsidRDefault="00E2184D">
            <w:pPr>
              <w:rPr>
                <w:sz w:val="24"/>
                <w:szCs w:val="24"/>
              </w:rPr>
            </w:pPr>
          </w:p>
        </w:tc>
      </w:tr>
    </w:tbl>
    <w:p w14:paraId="16B4DDFD" w14:textId="77777777" w:rsidR="00E2184D" w:rsidRDefault="00E2184D">
      <w:pPr>
        <w:spacing w:line="360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33B4E63D" w14:textId="77777777" w:rsidR="00626464" w:rsidRPr="00626464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Ürituste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korraldamise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reeglid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:</w:t>
      </w:r>
      <w:r>
        <w:rPr>
          <w:rFonts w:ascii="Arial" w:hAnsi="Arial" w:cs="Arial"/>
          <w:color w:val="222222"/>
          <w:sz w:val="22"/>
          <w:szCs w:val="22"/>
          <w:lang w:val="et-EE"/>
        </w:rPr>
        <w:t xml:space="preserve"> </w:t>
      </w:r>
      <w:hyperlink r:id="rId6" w:tgtFrame="_blank" w:history="1">
        <w:r w:rsidRPr="00626464">
          <w:rPr>
            <w:rStyle w:val="Hperlink"/>
            <w:rFonts w:ascii="Arial" w:hAnsi="Arial" w:cs="Arial"/>
            <w:i/>
            <w:iCs/>
            <w:color w:val="1155CC"/>
            <w:sz w:val="22"/>
            <w:szCs w:val="22"/>
            <w:lang w:val="en-US"/>
          </w:rPr>
          <w:t>www.kriis.ee</w:t>
        </w:r>
      </w:hyperlink>
    </w:p>
    <w:p w14:paraId="3DF175E5" w14:textId="77777777" w:rsidR="00626464" w:rsidRPr="00626464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</w:p>
    <w:p w14:paraId="7344B3D2" w14:textId="77777777" w:rsidR="00626464" w:rsidRPr="00F03049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KK Lindakivi pole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ürituse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,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proovi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või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treeningu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korraldajana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vastutav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piirangute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rakendamisel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,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kuid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kontrollib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oma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majades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nimetatud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tegevuste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korraldajaid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ja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läbiviijaid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Vabariigi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Valitsuse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reeglite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täitmisel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ning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informeerib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Terviseametit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piirangute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rikkumisest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.</w:t>
      </w:r>
    </w:p>
    <w:p w14:paraId="2DB37321" w14:textId="77777777" w:rsidR="00E2184D" w:rsidRPr="00F03049" w:rsidRDefault="00E2184D" w:rsidP="006C312D">
      <w:pPr>
        <w:spacing w:line="360" w:lineRule="auto"/>
        <w:jc w:val="both"/>
        <w:rPr>
          <w:b/>
          <w:color w:val="222222"/>
          <w:sz w:val="22"/>
          <w:szCs w:val="22"/>
          <w:highlight w:val="white"/>
          <w:lang w:val="en-US"/>
        </w:rPr>
      </w:pPr>
    </w:p>
    <w:p w14:paraId="58548BEF" w14:textId="77777777" w:rsidR="00E2184D" w:rsidRDefault="00584D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Arve esitab Lasnamäe Linnaosa Valitsus Lasnamäe linnaosa vanema korralduse (30.04.2013 LLOV -4/6) alusel</w:t>
      </w:r>
    </w:p>
    <w:p w14:paraId="3E892C96" w14:textId="77777777"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*Tärniga märgitud väljade täitmine on kohustuslik</w:t>
      </w:r>
    </w:p>
    <w:p w14:paraId="2F804B63" w14:textId="0FEF1F3E" w:rsidR="00E2184D" w:rsidRPr="007E4B94" w:rsidRDefault="00584D7A" w:rsidP="00022D6E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bookmarkStart w:id="1" w:name="_heading=h.30j0zll" w:colFirst="0" w:colLast="0"/>
      <w:bookmarkEnd w:id="1"/>
      <w:r w:rsidRPr="007E4B94">
        <w:rPr>
          <w:i/>
          <w:sz w:val="22"/>
          <w:szCs w:val="22"/>
        </w:rPr>
        <w:t xml:space="preserve">Ürituse läbiviimisel tuleb täpselt kinni pidada ürituse kestvusajast. </w:t>
      </w:r>
      <w:r w:rsidRPr="007E4B94">
        <w:rPr>
          <w:b/>
          <w:i/>
          <w:sz w:val="22"/>
          <w:szCs w:val="22"/>
        </w:rPr>
        <w:t>Esinejate maksimaalne arv</w:t>
      </w:r>
      <w:r w:rsidRPr="007E4B94">
        <w:rPr>
          <w:i/>
          <w:sz w:val="22"/>
          <w:szCs w:val="22"/>
        </w:rPr>
        <w:t xml:space="preserve"> </w:t>
      </w:r>
      <w:r w:rsidRPr="007E4B94">
        <w:rPr>
          <w:b/>
          <w:i/>
          <w:sz w:val="22"/>
          <w:szCs w:val="22"/>
        </w:rPr>
        <w:t xml:space="preserve">majas korraga on 300! </w:t>
      </w:r>
      <w:r w:rsidRPr="007E4B94">
        <w:rPr>
          <w:i/>
          <w:sz w:val="22"/>
          <w:szCs w:val="22"/>
        </w:rPr>
        <w:t>Ruumi pääseb ja ruumist tuleb lahkuda broneeritud ajal, kuna see võib segada eelnevaid või järgnevaid üritusi.</w:t>
      </w:r>
      <w:r w:rsidR="007E4B94" w:rsidRPr="007E4B94">
        <w:rPr>
          <w:i/>
          <w:sz w:val="22"/>
          <w:szCs w:val="22"/>
        </w:rPr>
        <w:t xml:space="preserve"> Tasuda tuleb </w:t>
      </w:r>
      <w:r w:rsidR="007E4B94">
        <w:rPr>
          <w:i/>
          <w:sz w:val="22"/>
          <w:szCs w:val="22"/>
        </w:rPr>
        <w:t xml:space="preserve">avalduses esitatud </w:t>
      </w:r>
      <w:r w:rsidR="007E4B94" w:rsidRPr="007E4B94">
        <w:rPr>
          <w:i/>
          <w:sz w:val="22"/>
          <w:szCs w:val="22"/>
        </w:rPr>
        <w:t xml:space="preserve">mahu ja aja eest, </w:t>
      </w:r>
      <w:r w:rsidR="007E4B94">
        <w:rPr>
          <w:i/>
          <w:sz w:val="22"/>
          <w:szCs w:val="22"/>
        </w:rPr>
        <w:t>t</w:t>
      </w:r>
      <w:r w:rsidRPr="007E4B94">
        <w:rPr>
          <w:i/>
          <w:sz w:val="22"/>
          <w:szCs w:val="22"/>
        </w:rPr>
        <w:t xml:space="preserve">äiendavalt tellitud tehnika, inventari või lisaaja </w:t>
      </w:r>
      <w:r w:rsidR="007E4B94">
        <w:rPr>
          <w:i/>
          <w:sz w:val="22"/>
          <w:szCs w:val="22"/>
        </w:rPr>
        <w:t>tuleb tasuda täiendavalt vastavalt hinnakirjale</w:t>
      </w:r>
      <w:r w:rsidRPr="007E4B94">
        <w:rPr>
          <w:i/>
          <w:sz w:val="22"/>
          <w:szCs w:val="22"/>
        </w:rPr>
        <w:t>.</w:t>
      </w:r>
    </w:p>
    <w:p w14:paraId="67D8E716" w14:textId="77777777"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Arve tuleb tasuda määratud maksetähtajaks.  Arve tasumise hilinemisel tuleb maksta viivist 0,05%  tasumata summast päevas.</w:t>
      </w:r>
    </w:p>
    <w:p w14:paraId="072613D5" w14:textId="77777777"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Broneeringu äraütlemine õigeaegselt, st vähemalt 14  kalendripäeva enne tähtaega, ei sisalda broneerimistasu. Hilisema broneeringu äraütlemise korral tuleb tasuda broneerimistasu 50% avalduse hinnast.</w:t>
      </w:r>
    </w:p>
    <w:p w14:paraId="5AD387E0" w14:textId="77777777"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Tellija vastutab broneeritud ruumi(de) ja laenutatud inventari korrashoiu eest. Tekitatud kahju tuleb hüvitada võrdeliselt asja väärtusega.</w:t>
      </w:r>
    </w:p>
    <w:p w14:paraId="001090BE" w14:textId="77777777" w:rsidR="009872C2" w:rsidRPr="009872C2" w:rsidRDefault="009872C2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 w:rsidRPr="009872C2">
        <w:rPr>
          <w:i/>
        </w:rPr>
        <w:t>4K, 8K, DCP ja teisi mahukaid heli- või videofaile Lindakivis kasutada ei saa ning üritustel, kus video- ja helifaile kasutatakse tuleb hiljemalt 24 h enne ürituse algust konsulteerida Lindakivi tehnilise meeskonnaga.</w:t>
      </w:r>
    </w:p>
    <w:p w14:paraId="168D7FE0" w14:textId="77777777" w:rsidR="00E2184D" w:rsidRDefault="00E2184D"/>
    <w:tbl>
      <w:tblPr>
        <w:tblStyle w:val="a4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6"/>
      </w:tblGrid>
      <w:tr w:rsidR="00E2184D" w14:paraId="72D47968" w14:textId="77777777">
        <w:tc>
          <w:tcPr>
            <w:tcW w:w="3115" w:type="dxa"/>
            <w:tcMar>
              <w:left w:w="108" w:type="dxa"/>
            </w:tcMar>
          </w:tcPr>
          <w:p w14:paraId="4D6F665A" w14:textId="77777777"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left w:w="108" w:type="dxa"/>
            </w:tcMar>
          </w:tcPr>
          <w:p w14:paraId="45B6781C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Tellija:</w:t>
            </w:r>
          </w:p>
        </w:tc>
        <w:tc>
          <w:tcPr>
            <w:tcW w:w="3116" w:type="dxa"/>
            <w:tcMar>
              <w:left w:w="108" w:type="dxa"/>
            </w:tcMar>
          </w:tcPr>
          <w:p w14:paraId="042AA3A4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Kultuurikeskuse Lindakivi esindaja:</w:t>
            </w:r>
          </w:p>
        </w:tc>
      </w:tr>
      <w:tr w:rsidR="00E2184D" w14:paraId="5C52B166" w14:textId="77777777">
        <w:trPr>
          <w:trHeight w:val="1120"/>
        </w:trPr>
        <w:tc>
          <w:tcPr>
            <w:tcW w:w="3115" w:type="dxa"/>
            <w:tcMar>
              <w:left w:w="108" w:type="dxa"/>
            </w:tcMar>
          </w:tcPr>
          <w:p w14:paraId="5C4278C6" w14:textId="77777777"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left w:w="108" w:type="dxa"/>
            </w:tcMar>
          </w:tcPr>
          <w:p w14:paraId="7D2036A4" w14:textId="77777777"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Käesolevaga kinnitan, et olen tutvunud avalduse tingimustega, hinnakirjaga ja kohustun neid täitma.</w:t>
            </w:r>
          </w:p>
        </w:tc>
        <w:tc>
          <w:tcPr>
            <w:tcW w:w="3116" w:type="dxa"/>
            <w:tcMar>
              <w:left w:w="108" w:type="dxa"/>
            </w:tcMar>
          </w:tcPr>
          <w:p w14:paraId="57DD354D" w14:textId="77777777"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 w14:paraId="1BACC260" w14:textId="77777777">
        <w:tc>
          <w:tcPr>
            <w:tcW w:w="3115" w:type="dxa"/>
            <w:tcMar>
              <w:left w:w="108" w:type="dxa"/>
            </w:tcMar>
          </w:tcPr>
          <w:p w14:paraId="6B6C7B81" w14:textId="77777777"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Ees- ja perekonnanimi:</w:t>
            </w:r>
          </w:p>
        </w:tc>
        <w:tc>
          <w:tcPr>
            <w:tcW w:w="3115" w:type="dxa"/>
            <w:tcMar>
              <w:left w:w="108" w:type="dxa"/>
            </w:tcMar>
          </w:tcPr>
          <w:p w14:paraId="3BCB01D1" w14:textId="77777777"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14:paraId="761195CD" w14:textId="77777777"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 w14:paraId="7AC0FC40" w14:textId="77777777">
        <w:tc>
          <w:tcPr>
            <w:tcW w:w="3115" w:type="dxa"/>
            <w:tcMar>
              <w:left w:w="108" w:type="dxa"/>
            </w:tcMar>
          </w:tcPr>
          <w:p w14:paraId="4DA99BBD" w14:textId="77777777"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Allkiri:</w:t>
            </w:r>
          </w:p>
        </w:tc>
        <w:tc>
          <w:tcPr>
            <w:tcW w:w="3115" w:type="dxa"/>
            <w:tcMar>
              <w:left w:w="108" w:type="dxa"/>
            </w:tcMar>
          </w:tcPr>
          <w:p w14:paraId="7EC88AB5" w14:textId="77777777"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14:paraId="6E7E34EB" w14:textId="77777777"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 w14:paraId="2CE70890" w14:textId="77777777">
        <w:tc>
          <w:tcPr>
            <w:tcW w:w="3115" w:type="dxa"/>
            <w:tcMar>
              <w:left w:w="108" w:type="dxa"/>
            </w:tcMar>
          </w:tcPr>
          <w:p w14:paraId="589A1E35" w14:textId="77777777"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Kuupäev:</w:t>
            </w:r>
          </w:p>
        </w:tc>
        <w:tc>
          <w:tcPr>
            <w:tcW w:w="3115" w:type="dxa"/>
            <w:tcMar>
              <w:left w:w="108" w:type="dxa"/>
            </w:tcMar>
          </w:tcPr>
          <w:p w14:paraId="2B85B3F1" w14:textId="77777777"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14:paraId="4354F27A" w14:textId="77777777" w:rsidR="00E2184D" w:rsidRDefault="00E2184D">
            <w:pPr>
              <w:rPr>
                <w:sz w:val="24"/>
                <w:szCs w:val="24"/>
              </w:rPr>
            </w:pPr>
          </w:p>
        </w:tc>
      </w:tr>
    </w:tbl>
    <w:p w14:paraId="364058C6" w14:textId="77777777" w:rsidR="00E2184D" w:rsidRDefault="00E2184D"/>
    <w:sectPr w:rsidR="00E2184D">
      <w:pgSz w:w="11906" w:h="16838"/>
      <w:pgMar w:top="630" w:right="850" w:bottom="1134" w:left="1701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AFD"/>
    <w:multiLevelType w:val="multilevel"/>
    <w:tmpl w:val="AA701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76CC3DE3"/>
    <w:multiLevelType w:val="multilevel"/>
    <w:tmpl w:val="C9045AA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 w16cid:durableId="1793135595">
    <w:abstractNumId w:val="1"/>
  </w:num>
  <w:num w:numId="2" w16cid:durableId="77413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4D"/>
    <w:rsid w:val="0012460B"/>
    <w:rsid w:val="001F5998"/>
    <w:rsid w:val="004C0EF9"/>
    <w:rsid w:val="00584D7A"/>
    <w:rsid w:val="00626464"/>
    <w:rsid w:val="006C312D"/>
    <w:rsid w:val="006C4374"/>
    <w:rsid w:val="007E4B94"/>
    <w:rsid w:val="009872C2"/>
    <w:rsid w:val="00A21F91"/>
    <w:rsid w:val="00AD7613"/>
    <w:rsid w:val="00E2184D"/>
    <w:rsid w:val="00F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C774"/>
  <w15:docId w15:val="{16143B8B-2EF1-41E2-B45D-D737A3A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75255E"/>
  </w:style>
  <w:style w:type="paragraph" w:styleId="Pealkiri1">
    <w:name w:val="heading 1"/>
    <w:basedOn w:val="Normaallaad"/>
    <w:next w:val="Normaallaad"/>
    <w:rsid w:val="0075255E"/>
    <w:pPr>
      <w:keepNext/>
      <w:keepLines/>
      <w:spacing w:line="360" w:lineRule="auto"/>
      <w:ind w:left="432" w:hanging="432"/>
      <w:jc w:val="center"/>
      <w:outlineLvl w:val="0"/>
    </w:pPr>
    <w:rPr>
      <w:b/>
    </w:rPr>
  </w:style>
  <w:style w:type="paragraph" w:styleId="Pealkiri2">
    <w:name w:val="heading 2"/>
    <w:basedOn w:val="Normaallaad"/>
    <w:next w:val="Normaallaad"/>
    <w:rsid w:val="0075255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rsid w:val="0075255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rsid w:val="0075255E"/>
    <w:pPr>
      <w:keepNext/>
      <w:keepLines/>
      <w:spacing w:before="240" w:after="40"/>
      <w:contextualSpacing/>
      <w:outlineLvl w:val="3"/>
    </w:pPr>
    <w:rPr>
      <w:b/>
    </w:rPr>
  </w:style>
  <w:style w:type="paragraph" w:styleId="Pealkiri5">
    <w:name w:val="heading 5"/>
    <w:basedOn w:val="Normaallaad"/>
    <w:next w:val="Normaallaad"/>
    <w:rsid w:val="0075255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rsid w:val="0075255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rsid w:val="0075255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Normaaltabe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Normaaltabe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Normaaltabel"/>
    <w:rPr>
      <w:sz w:val="20"/>
      <w:szCs w:val="20"/>
    </w:rPr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4C0EF9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626464"/>
    <w:pPr>
      <w:spacing w:before="100" w:beforeAutospacing="1" w:after="100" w:afterAutospacing="1"/>
    </w:pPr>
    <w:rPr>
      <w:lang w:val="ru-RU"/>
    </w:rPr>
  </w:style>
  <w:style w:type="character" w:styleId="Hperlink">
    <w:name w:val="Hyperlink"/>
    <w:basedOn w:val="Liguvaikefont"/>
    <w:uiPriority w:val="99"/>
    <w:semiHidden/>
    <w:unhideWhenUsed/>
    <w:rsid w:val="0062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is.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0wIuzpFhyu5WMBWLAhEiCYA8Vw==">AMUW2mWnKi7CvczpHjPqIxWpIPXQ63Q7djNwn/do2WiM0C/RR7RIt0aNGVbNBlACNd/Wr0NWVuS9ulfnfTvSa/3JlK3z4tSqWTJTk9Pg8kpEdB8M4N3eErmHnWfo+Vc5TO+FVkUkwJ4d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Marko L?hmus</cp:lastModifiedBy>
  <cp:revision>2</cp:revision>
  <dcterms:created xsi:type="dcterms:W3CDTF">2025-03-31T10:28:00Z</dcterms:created>
  <dcterms:modified xsi:type="dcterms:W3CDTF">2025-03-31T10:28:00Z</dcterms:modified>
</cp:coreProperties>
</file>